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E2F7FE">
      <w:pPr>
        <w:keepNext w:val="0"/>
        <w:keepLines w:val="0"/>
        <w:pageBreakBefore w:val="0"/>
        <w:widowControl w:val="0"/>
        <w:kinsoku w:val="0"/>
        <w:wordWrap/>
        <w:overflowPunct/>
        <w:topLinePunct w:val="0"/>
        <w:autoSpaceDE w:val="0"/>
        <w:autoSpaceDN w:val="0"/>
        <w:bidi w:val="0"/>
        <w:adjustRightInd w:val="0"/>
        <w:snapToGrid w:val="0"/>
        <w:spacing w:line="600" w:lineRule="exact"/>
        <w:ind w:left="0" w:leftChars="0" w:right="0" w:firstLine="0" w:firstLineChars="0"/>
        <w:jc w:val="center"/>
        <w:textAlignment w:val="baseline"/>
        <w:outlineLvl w:val="0"/>
        <w:rPr>
          <w:rFonts w:hint="default" w:ascii="方正大标宋简体" w:hAnsi="方正大标宋简体" w:eastAsia="方正大标宋简体" w:cs="方正大标宋简体"/>
          <w:b w:val="0"/>
          <w:bCs w:val="0"/>
          <w:i w:val="0"/>
          <w:color w:val="000000"/>
          <w:kern w:val="0"/>
          <w:sz w:val="44"/>
          <w:szCs w:val="44"/>
          <w:u w:val="none"/>
          <w:lang w:val="en-US" w:eastAsia="zh-CN" w:bidi="ar"/>
        </w:rPr>
      </w:pPr>
      <w:bookmarkStart w:id="0" w:name="_GoBack"/>
      <w:bookmarkEnd w:id="0"/>
      <w:r>
        <w:rPr>
          <w:rFonts w:hint="default" w:ascii="方正大标宋简体" w:hAnsi="方正大标宋简体" w:eastAsia="方正大标宋简体" w:cs="方正大标宋简体"/>
          <w:b w:val="0"/>
          <w:bCs w:val="0"/>
          <w:i w:val="0"/>
          <w:color w:val="000000"/>
          <w:kern w:val="0"/>
          <w:sz w:val="44"/>
          <w:szCs w:val="44"/>
          <w:u w:val="none"/>
          <w:lang w:val="en-US" w:eastAsia="zh-CN" w:bidi="ar"/>
        </w:rPr>
        <w:t>行政执法事项目录清单</w:t>
      </w:r>
    </w:p>
    <w:tbl>
      <w:tblPr>
        <w:tblStyle w:val="3"/>
        <w:tblW w:w="13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32"/>
        <w:gridCol w:w="1432"/>
        <w:gridCol w:w="999"/>
        <w:gridCol w:w="9080"/>
        <w:gridCol w:w="998"/>
        <w:gridCol w:w="999"/>
      </w:tblGrid>
      <w:tr w14:paraId="3096C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36" w:hRule="atLeast"/>
          <w:jc w:val="center"/>
        </w:trPr>
        <w:tc>
          <w:tcPr>
            <w:tcW w:w="432" w:type="dxa"/>
            <w:tcBorders>
              <w:top w:val="single" w:color="000000" w:sz="4" w:space="0"/>
              <w:left w:val="single" w:color="000000" w:sz="4" w:space="0"/>
              <w:bottom w:val="single" w:color="000000" w:sz="4" w:space="0"/>
              <w:right w:val="single" w:color="000000" w:sz="4" w:space="0"/>
            </w:tcBorders>
            <w:noWrap/>
            <w:vAlign w:val="center"/>
          </w:tcPr>
          <w:p w14:paraId="44AB30E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序号</w:t>
            </w:r>
          </w:p>
        </w:tc>
        <w:tc>
          <w:tcPr>
            <w:tcW w:w="1432" w:type="dxa"/>
            <w:tcBorders>
              <w:top w:val="single" w:color="000000" w:sz="4" w:space="0"/>
              <w:left w:val="single" w:color="000000" w:sz="4" w:space="0"/>
              <w:bottom w:val="single" w:color="000000" w:sz="4" w:space="0"/>
              <w:right w:val="single" w:color="000000" w:sz="4" w:space="0"/>
            </w:tcBorders>
            <w:noWrap/>
            <w:vAlign w:val="center"/>
          </w:tcPr>
          <w:p w14:paraId="01D5714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事项</w:t>
            </w:r>
          </w:p>
          <w:p w14:paraId="6C753AE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名称</w:t>
            </w:r>
          </w:p>
        </w:tc>
        <w:tc>
          <w:tcPr>
            <w:tcW w:w="999" w:type="dxa"/>
            <w:tcBorders>
              <w:top w:val="single" w:color="000000" w:sz="4" w:space="0"/>
              <w:left w:val="single" w:color="000000" w:sz="4" w:space="0"/>
              <w:bottom w:val="single" w:color="000000" w:sz="4" w:space="0"/>
              <w:right w:val="single" w:color="000000" w:sz="4" w:space="0"/>
            </w:tcBorders>
            <w:noWrap/>
            <w:vAlign w:val="center"/>
          </w:tcPr>
          <w:p w14:paraId="05F8146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黑体" w:hAnsi="宋体" w:eastAsia="黑体" w:cs="黑体"/>
                <w:i w:val="0"/>
                <w:color w:val="000000"/>
                <w:kern w:val="0"/>
                <w:sz w:val="24"/>
                <w:szCs w:val="24"/>
                <w:u w:val="none"/>
                <w:lang w:val="en-US" w:eastAsia="zh-CN" w:bidi="ar"/>
              </w:rPr>
            </w:pPr>
            <w:r>
              <w:rPr>
                <w:rFonts w:hint="eastAsia" w:ascii="黑体" w:hAnsi="宋体" w:eastAsia="黑体" w:cs="黑体"/>
                <w:i w:val="0"/>
                <w:color w:val="000000"/>
                <w:kern w:val="0"/>
                <w:sz w:val="24"/>
                <w:szCs w:val="24"/>
                <w:u w:val="none"/>
                <w:lang w:val="en-US" w:eastAsia="zh-CN" w:bidi="ar"/>
              </w:rPr>
              <w:t>事项</w:t>
            </w:r>
          </w:p>
          <w:p w14:paraId="51B78C6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类型</w:t>
            </w:r>
          </w:p>
        </w:tc>
        <w:tc>
          <w:tcPr>
            <w:tcW w:w="9080" w:type="dxa"/>
            <w:tcBorders>
              <w:top w:val="single" w:color="000000" w:sz="4" w:space="0"/>
              <w:left w:val="single" w:color="000000" w:sz="4" w:space="0"/>
              <w:bottom w:val="single" w:color="000000" w:sz="4" w:space="0"/>
              <w:right w:val="single" w:color="000000" w:sz="4" w:space="0"/>
            </w:tcBorders>
            <w:noWrap/>
            <w:vAlign w:val="center"/>
          </w:tcPr>
          <w:p w14:paraId="4FBADDC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事项依据</w:t>
            </w:r>
          </w:p>
        </w:tc>
        <w:tc>
          <w:tcPr>
            <w:tcW w:w="998" w:type="dxa"/>
            <w:tcBorders>
              <w:top w:val="single" w:color="000000" w:sz="4" w:space="0"/>
              <w:left w:val="single" w:color="000000" w:sz="4" w:space="0"/>
              <w:bottom w:val="single" w:color="000000" w:sz="4" w:space="0"/>
              <w:right w:val="single" w:color="000000" w:sz="4" w:space="0"/>
            </w:tcBorders>
            <w:noWrap/>
            <w:vAlign w:val="center"/>
          </w:tcPr>
          <w:p w14:paraId="75F61AE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责任主体</w:t>
            </w:r>
          </w:p>
        </w:tc>
        <w:tc>
          <w:tcPr>
            <w:tcW w:w="999" w:type="dxa"/>
            <w:tcBorders>
              <w:top w:val="single" w:color="000000" w:sz="4" w:space="0"/>
              <w:left w:val="single" w:color="000000" w:sz="4" w:space="0"/>
              <w:bottom w:val="single" w:color="000000" w:sz="4" w:space="0"/>
              <w:right w:val="single" w:color="000000" w:sz="4" w:space="0"/>
            </w:tcBorders>
            <w:noWrap/>
            <w:vAlign w:val="center"/>
          </w:tcPr>
          <w:p w14:paraId="6D1F77B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实施主体</w:t>
            </w:r>
          </w:p>
        </w:tc>
      </w:tr>
      <w:tr w14:paraId="627EA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1" w:hRule="atLeast"/>
          <w:jc w:val="center"/>
        </w:trPr>
        <w:tc>
          <w:tcPr>
            <w:tcW w:w="432" w:type="dxa"/>
            <w:tcBorders>
              <w:top w:val="single" w:color="000000" w:sz="4" w:space="0"/>
              <w:left w:val="single" w:color="000000" w:sz="4" w:space="0"/>
              <w:bottom w:val="single" w:color="auto" w:sz="4" w:space="0"/>
              <w:right w:val="single" w:color="000000" w:sz="4" w:space="0"/>
            </w:tcBorders>
            <w:noWrap w:val="0"/>
            <w:vAlign w:val="center"/>
          </w:tcPr>
          <w:p w14:paraId="663D846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w:t>
            </w:r>
          </w:p>
        </w:tc>
        <w:tc>
          <w:tcPr>
            <w:tcW w:w="1432" w:type="dxa"/>
            <w:tcBorders>
              <w:top w:val="single" w:color="000000" w:sz="4" w:space="0"/>
              <w:left w:val="single" w:color="000000" w:sz="4" w:space="0"/>
              <w:bottom w:val="single" w:color="auto" w:sz="4" w:space="0"/>
              <w:right w:val="single" w:color="000000" w:sz="4" w:space="0"/>
            </w:tcBorders>
            <w:noWrap w:val="0"/>
            <w:vAlign w:val="center"/>
          </w:tcPr>
          <w:p w14:paraId="3223645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对医疗保障经办机构骗取医疗保障基金支出行为的处罚</w:t>
            </w:r>
          </w:p>
        </w:tc>
        <w:tc>
          <w:tcPr>
            <w:tcW w:w="999" w:type="dxa"/>
            <w:tcBorders>
              <w:top w:val="single" w:color="000000" w:sz="4" w:space="0"/>
              <w:left w:val="single" w:color="000000" w:sz="4" w:space="0"/>
              <w:bottom w:val="single" w:color="auto" w:sz="4" w:space="0"/>
              <w:right w:val="single" w:color="000000" w:sz="4" w:space="0"/>
            </w:tcBorders>
            <w:noWrap w:val="0"/>
            <w:vAlign w:val="center"/>
          </w:tcPr>
          <w:p w14:paraId="07F23E1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行政处罚</w:t>
            </w:r>
          </w:p>
        </w:tc>
        <w:tc>
          <w:tcPr>
            <w:tcW w:w="9080" w:type="dxa"/>
            <w:tcBorders>
              <w:top w:val="single" w:color="000000" w:sz="4" w:space="0"/>
              <w:left w:val="single" w:color="000000" w:sz="4" w:space="0"/>
              <w:bottom w:val="single" w:color="auto" w:sz="4" w:space="0"/>
              <w:right w:val="single" w:color="000000" w:sz="4" w:space="0"/>
            </w:tcBorders>
            <w:noWrap w:val="0"/>
            <w:vAlign w:val="center"/>
          </w:tcPr>
          <w:p w14:paraId="067609E0">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社会保险法》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p w14:paraId="4C28783E">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医疗保障基金使用监督管理条例》第三十七条：医疗保障经办机构通过伪造、变造、隐匿、涂改、销毁医学文书、医学证明、会计凭证、电子信息等有关资料或者虚构医药服务项目等方式，骗取医疗保障基金支出的，由医疗保障行政部门责令退回，处骗取金额2倍以上5倍以下的罚款，对直接负责的主管人员和其他直接责任人员依法给予处分。</w:t>
            </w:r>
          </w:p>
          <w:p w14:paraId="7F67D4AE">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《基本医疗卫生与健康促进法》第一百零四条 ：基本医疗保险经办机构以及医疗机构、药品经营单位等以欺诈、伪造证明材料或者其他手段骗取基本医疗保险基金支出的，由县级以上人民政府医疗保障主管部门依照有关社会保险的法律、行政法规规定给予行政处罚。</w:t>
            </w:r>
          </w:p>
        </w:tc>
        <w:tc>
          <w:tcPr>
            <w:tcW w:w="998" w:type="dxa"/>
            <w:tcBorders>
              <w:top w:val="single" w:color="000000" w:sz="4" w:space="0"/>
              <w:left w:val="single" w:color="000000" w:sz="4" w:space="0"/>
              <w:bottom w:val="single" w:color="auto" w:sz="4" w:space="0"/>
              <w:right w:val="single" w:color="000000" w:sz="4" w:space="0"/>
            </w:tcBorders>
            <w:noWrap w:val="0"/>
            <w:vAlign w:val="center"/>
          </w:tcPr>
          <w:p w14:paraId="2AAD3A9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auto" w:sz="4" w:space="0"/>
              <w:right w:val="single" w:color="000000" w:sz="4" w:space="0"/>
            </w:tcBorders>
            <w:noWrap w:val="0"/>
            <w:vAlign w:val="center"/>
          </w:tcPr>
          <w:p w14:paraId="34DDF92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45D39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944" w:hRule="atLeast"/>
          <w:jc w:val="center"/>
        </w:trPr>
        <w:tc>
          <w:tcPr>
            <w:tcW w:w="432" w:type="dxa"/>
            <w:tcBorders>
              <w:top w:val="single" w:color="auto" w:sz="4" w:space="0"/>
              <w:left w:val="single" w:color="auto" w:sz="4" w:space="0"/>
              <w:bottom w:val="single" w:color="auto" w:sz="4" w:space="0"/>
              <w:right w:val="single" w:color="000000" w:sz="4" w:space="0"/>
            </w:tcBorders>
            <w:noWrap w:val="0"/>
            <w:vAlign w:val="center"/>
          </w:tcPr>
          <w:p w14:paraId="6CFA316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c>
          <w:tcPr>
            <w:tcW w:w="1432" w:type="dxa"/>
            <w:tcBorders>
              <w:top w:val="single" w:color="auto" w:sz="4" w:space="0"/>
              <w:left w:val="single" w:color="000000" w:sz="4" w:space="0"/>
              <w:bottom w:val="single" w:color="auto" w:sz="4" w:space="0"/>
              <w:right w:val="single" w:color="000000" w:sz="4" w:space="0"/>
            </w:tcBorders>
            <w:noWrap w:val="0"/>
            <w:vAlign w:val="center"/>
          </w:tcPr>
          <w:p w14:paraId="04C26F5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对定点医药机构存在造成医疗保障基金损失或骗取医疗保障基金支出行为的处罚</w:t>
            </w:r>
          </w:p>
        </w:tc>
        <w:tc>
          <w:tcPr>
            <w:tcW w:w="999" w:type="dxa"/>
            <w:tcBorders>
              <w:top w:val="single" w:color="auto" w:sz="4" w:space="0"/>
              <w:left w:val="single" w:color="000000" w:sz="4" w:space="0"/>
              <w:bottom w:val="single" w:color="auto" w:sz="4" w:space="0"/>
              <w:right w:val="single" w:color="auto" w:sz="4" w:space="0"/>
            </w:tcBorders>
            <w:noWrap w:val="0"/>
            <w:vAlign w:val="center"/>
          </w:tcPr>
          <w:p w14:paraId="3FF4B57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行政处罚</w:t>
            </w:r>
          </w:p>
        </w:tc>
        <w:tc>
          <w:tcPr>
            <w:tcW w:w="9080" w:type="dxa"/>
            <w:tcBorders>
              <w:top w:val="single" w:color="auto" w:sz="4" w:space="0"/>
              <w:left w:val="single" w:color="auto" w:sz="4" w:space="0"/>
              <w:bottom w:val="single" w:color="auto" w:sz="4" w:space="0"/>
              <w:right w:val="single" w:color="auto" w:sz="4" w:space="0"/>
            </w:tcBorders>
            <w:noWrap w:val="0"/>
            <w:vAlign w:val="center"/>
          </w:tcPr>
          <w:p w14:paraId="1C181B22">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社会保险法》第八十七条：社会保险经办机构以及医疗机构、药品经营单位等社会保险服务机构以欺诈、伪造证明材料或者其他手段骗取社会保险基金支出的，由社会保险行政部门责令退回骗取的社会保险金，处骗取金额二倍以上五倍以下的罚款；属于社会保险服务机构的，解除服务协议；直接负责的主管人员和其他直接责任人员有执业资格的，依法吊销其执业资格。</w:t>
            </w:r>
          </w:p>
          <w:p w14:paraId="273ADB5D">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实施〈中华人民共和国社会保险法〉若干规定》第二十五条：医疗机构、药品经营单位等社会保险服务机构以欺诈、伪造证明材料或者其他手段骗取社会保险基金支出的，由社会保险行政部门责令退回骗取的社会保险金，处骗取金额二倍以上五倍以下的罚款。对与社会保险经办机构签订服务协议的医疗机构、药品经营单位，由社会保险经办机构按照协议追究责任，情节严重的，可以解除与其签订的服务协议。对有执业资格的直接负责的主管人员和其他直接责任人员，由社会保险行政部门建议授予其执业资格的有关主管部门依法吊销其执业资格。</w:t>
            </w:r>
          </w:p>
          <w:p w14:paraId="3A61608D">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医疗保障基金使用监督管理条例》第三十八条：定点医药机构有下列情形之一的，由医疗保障行政部门责令改正，并可以约谈有关负责人；造成医疗保障基金损失的，责令退回，处造成损失金额1倍以上2倍以下的罚款；拒不改正或者造成严重后果的，责令定点医药机构暂停相关责任部门6个月以上1年以下涉及医疗保障基金使用的医药服务；违反其他法律、行政法规的，由有关主管部门依法处理：（一）分解住院、挂床住院；（二）违反诊疗规范过度诊疗、过度检查、分解处方、超量开药、重复开药或者提供其他不必要的医药服务；（三）重复收费、超标准收费、分解项目收费；（四）串换药品、医用耗材、诊疗项目和服务设施；（五）为参保人员利用其享受医疗保障待遇的机会转卖药品，接受返还现金、实物或者获得其他非法利益提供便利；（六）将不属于医疗保障基金支付范围的医药费用纳入医疗保障基金结算；（七）造成医疗保障基金损失的其他违法行为。</w:t>
            </w:r>
          </w:p>
          <w:p w14:paraId="5F34F065">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《医疗保障基金使用监督管理条例》第三十九条：定点医药机构有下列情形之一的，</w:t>
            </w:r>
          </w:p>
        </w:tc>
        <w:tc>
          <w:tcPr>
            <w:tcW w:w="998" w:type="dxa"/>
            <w:tcBorders>
              <w:top w:val="single" w:color="auto" w:sz="4" w:space="0"/>
              <w:left w:val="single" w:color="auto" w:sz="4" w:space="0"/>
              <w:bottom w:val="single" w:color="auto" w:sz="4" w:space="0"/>
              <w:right w:val="single" w:color="000000" w:sz="4" w:space="0"/>
            </w:tcBorders>
            <w:noWrap w:val="0"/>
            <w:vAlign w:val="center"/>
          </w:tcPr>
          <w:p w14:paraId="6DE0FC5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auto" w:sz="4" w:space="0"/>
              <w:left w:val="single" w:color="000000" w:sz="4" w:space="0"/>
              <w:bottom w:val="single" w:color="auto" w:sz="4" w:space="0"/>
              <w:right w:val="single" w:color="auto" w:sz="4" w:space="0"/>
            </w:tcBorders>
            <w:noWrap w:val="0"/>
            <w:vAlign w:val="center"/>
          </w:tcPr>
          <w:p w14:paraId="5EA2D6B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7E589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97" w:hRule="atLeast"/>
          <w:jc w:val="center"/>
        </w:trPr>
        <w:tc>
          <w:tcPr>
            <w:tcW w:w="432" w:type="dxa"/>
            <w:tcBorders>
              <w:top w:val="single" w:color="auto" w:sz="4" w:space="0"/>
              <w:left w:val="single" w:color="auto" w:sz="4" w:space="0"/>
              <w:bottom w:val="single" w:color="auto" w:sz="4" w:space="0"/>
              <w:right w:val="single" w:color="000000" w:sz="4" w:space="0"/>
            </w:tcBorders>
            <w:noWrap w:val="0"/>
            <w:vAlign w:val="center"/>
          </w:tcPr>
          <w:p w14:paraId="3448151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2</w:t>
            </w:r>
          </w:p>
        </w:tc>
        <w:tc>
          <w:tcPr>
            <w:tcW w:w="1432" w:type="dxa"/>
            <w:tcBorders>
              <w:top w:val="single" w:color="auto" w:sz="4" w:space="0"/>
              <w:left w:val="single" w:color="000000" w:sz="4" w:space="0"/>
              <w:bottom w:val="single" w:color="auto" w:sz="4" w:space="0"/>
              <w:right w:val="single" w:color="000000" w:sz="4" w:space="0"/>
            </w:tcBorders>
            <w:noWrap w:val="0"/>
            <w:vAlign w:val="center"/>
          </w:tcPr>
          <w:p w14:paraId="0273D1A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对定点医药机构存在造成医疗保障基金损失或骗取医疗保障基金支出行为的处罚</w:t>
            </w:r>
          </w:p>
        </w:tc>
        <w:tc>
          <w:tcPr>
            <w:tcW w:w="999" w:type="dxa"/>
            <w:tcBorders>
              <w:top w:val="single" w:color="auto" w:sz="4" w:space="0"/>
              <w:left w:val="single" w:color="000000" w:sz="4" w:space="0"/>
              <w:bottom w:val="single" w:color="auto" w:sz="4" w:space="0"/>
              <w:right w:val="single" w:color="auto" w:sz="4" w:space="0"/>
            </w:tcBorders>
            <w:noWrap w:val="0"/>
            <w:vAlign w:val="center"/>
          </w:tcPr>
          <w:p w14:paraId="5EF343F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行政处罚</w:t>
            </w:r>
          </w:p>
        </w:tc>
        <w:tc>
          <w:tcPr>
            <w:tcW w:w="9080" w:type="dxa"/>
            <w:tcBorders>
              <w:top w:val="single" w:color="auto" w:sz="4" w:space="0"/>
              <w:left w:val="single" w:color="auto" w:sz="4" w:space="0"/>
              <w:bottom w:val="single" w:color="auto" w:sz="4" w:space="0"/>
              <w:right w:val="single" w:color="auto" w:sz="4" w:space="0"/>
            </w:tcBorders>
            <w:noWrap w:val="0"/>
            <w:vAlign w:val="center"/>
          </w:tcPr>
          <w:p w14:paraId="7D7F81F6">
            <w:pPr>
              <w:keepNext w:val="0"/>
              <w:keepLines w:val="0"/>
              <w:pageBreakBefore w:val="0"/>
              <w:widowControl/>
              <w:suppressLineNumbers w:val="0"/>
              <w:tabs>
                <w:tab w:val="left" w:pos="1059"/>
              </w:tabs>
              <w:kinsoku/>
              <w:wordWrap/>
              <w:overflowPunct/>
              <w:topLinePunct w:val="0"/>
              <w:autoSpaceDE/>
              <w:autoSpaceDN/>
              <w:bidi w:val="0"/>
              <w:adjustRightInd/>
              <w:snapToGrid/>
              <w:spacing w:line="360" w:lineRule="exact"/>
              <w:ind w:left="0" w:leftChars="0" w:firstLine="0" w:firstLineChars="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由医疗保障行政部门责令改正，并可以约谈有关负责人；拒不改正的，处1万元以上5万元以下的罚款；违反其他法律、行政法规的，由有关主管部门依法处理：（一）未建立医疗保障基金使用内部管理制度，或者没有专门机构或者人员负责医疗保障基金使用管理工作；（二）未按照规定保管财务账目、会计凭证、处方、病历、治疗检查记录、费用明细、药品和医用耗材出入库记录等资料；（三）未按照规定通过医疗保障信息系统传送医疗保障基金使用有关数据；（四）未按照规定向医疗保障行政部门报告医疗保障基金使用监督管理所需信息；（五）未按照规定向社会公开医药费用、费用结构等信息；（六）除急诊、抢救等特殊情形外，未经参保人员或者其近亲属、监护人同意提供医疗保障基金支付范围以外的医药服务；（七）拒绝医疗保障等行政部门监督检查或者提供虚假情况。</w:t>
            </w:r>
          </w:p>
          <w:p w14:paraId="7861A721">
            <w:pPr>
              <w:keepNext w:val="0"/>
              <w:keepLines w:val="0"/>
              <w:pageBreakBefore w:val="0"/>
              <w:widowControl/>
              <w:suppressLineNumbers w:val="0"/>
              <w:tabs>
                <w:tab w:val="left" w:pos="1059"/>
              </w:tabs>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 xml:space="preserve">《医疗保障基金使用监督管理条例》第四十条：定点医药机构通过下列方式骗取医疗保障基金支出的，由医疗保障行政部门责令退回，处骗取金额2倍以上5倍以下的罚款；责令定点医药机构暂停相关责任部门6个月以上1年以下涉及医疗保障基金使用的医药服务，直至由医疗保障经办机构解除服务协议；有执业资格的，由有关主管部门依法吊销执业资格：（一）诱导、协助他人冒名或者虚假就医、购药，提供虚假证明材料，或者串通他人虚开费用单据；（二）伪造、变造、隐匿、涂改、销毁医学文书、医学证明、会计凭证、电子信息等有关资料；（三）虚构医药服务项目；（四）其他骗取医疗保障基金支出的行为。 </w:t>
            </w:r>
          </w:p>
          <w:p w14:paraId="3FEE7107">
            <w:pPr>
              <w:keepNext w:val="0"/>
              <w:keepLines w:val="0"/>
              <w:pageBreakBefore w:val="0"/>
              <w:widowControl/>
              <w:suppressLineNumbers w:val="0"/>
              <w:tabs>
                <w:tab w:val="left" w:pos="1059"/>
              </w:tabs>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《基本医疗卫生与健康促进法》第一百零四条 ：基本医疗保险经办机构以及医疗机构、药品经营单位等以欺诈、伪造证明材料或者其他手段骗取基本医疗保险基金支出的，由县级以上人民政府医疗保障主管部门依照有关社会保险的法律、行政法规规定给予行政处罚。</w:t>
            </w:r>
          </w:p>
        </w:tc>
        <w:tc>
          <w:tcPr>
            <w:tcW w:w="998" w:type="dxa"/>
            <w:tcBorders>
              <w:top w:val="single" w:color="auto" w:sz="4" w:space="0"/>
              <w:left w:val="single" w:color="auto" w:sz="4" w:space="0"/>
              <w:bottom w:val="single" w:color="auto" w:sz="4" w:space="0"/>
              <w:right w:val="single" w:color="000000" w:sz="4" w:space="0"/>
            </w:tcBorders>
            <w:noWrap w:val="0"/>
            <w:vAlign w:val="center"/>
          </w:tcPr>
          <w:p w14:paraId="0DE146E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auto" w:sz="4" w:space="0"/>
              <w:left w:val="single" w:color="000000" w:sz="4" w:space="0"/>
              <w:bottom w:val="single" w:color="auto" w:sz="4" w:space="0"/>
              <w:right w:val="single" w:color="auto" w:sz="4" w:space="0"/>
            </w:tcBorders>
            <w:noWrap w:val="0"/>
            <w:vAlign w:val="center"/>
          </w:tcPr>
          <w:p w14:paraId="36CC9FA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0FE32E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9" w:hRule="atLeast"/>
          <w:jc w:val="center"/>
        </w:trPr>
        <w:tc>
          <w:tcPr>
            <w:tcW w:w="432" w:type="dxa"/>
            <w:tcBorders>
              <w:top w:val="single" w:color="auto" w:sz="4" w:space="0"/>
              <w:left w:val="single" w:color="000000" w:sz="4" w:space="0"/>
              <w:bottom w:val="single" w:color="000000" w:sz="4" w:space="0"/>
              <w:right w:val="single" w:color="000000" w:sz="4" w:space="0"/>
            </w:tcBorders>
            <w:noWrap w:val="0"/>
            <w:vAlign w:val="center"/>
          </w:tcPr>
          <w:p w14:paraId="666F596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3</w:t>
            </w:r>
          </w:p>
        </w:tc>
        <w:tc>
          <w:tcPr>
            <w:tcW w:w="1432" w:type="dxa"/>
            <w:tcBorders>
              <w:top w:val="single" w:color="auto" w:sz="4" w:space="0"/>
              <w:left w:val="single" w:color="000000" w:sz="4" w:space="0"/>
              <w:bottom w:val="single" w:color="000000" w:sz="4" w:space="0"/>
              <w:right w:val="single" w:color="000000" w:sz="4" w:space="0"/>
            </w:tcBorders>
            <w:noWrap w:val="0"/>
            <w:vAlign w:val="center"/>
          </w:tcPr>
          <w:p w14:paraId="70FA0DF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对个人骗取医疗保障基金支出行为的处罚</w:t>
            </w:r>
          </w:p>
        </w:tc>
        <w:tc>
          <w:tcPr>
            <w:tcW w:w="999" w:type="dxa"/>
            <w:tcBorders>
              <w:top w:val="single" w:color="auto" w:sz="4" w:space="0"/>
              <w:left w:val="single" w:color="000000" w:sz="4" w:space="0"/>
              <w:bottom w:val="single" w:color="000000" w:sz="4" w:space="0"/>
              <w:right w:val="single" w:color="000000" w:sz="4" w:space="0"/>
            </w:tcBorders>
            <w:noWrap w:val="0"/>
            <w:vAlign w:val="center"/>
          </w:tcPr>
          <w:p w14:paraId="5FE3522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行政处罚</w:t>
            </w:r>
          </w:p>
        </w:tc>
        <w:tc>
          <w:tcPr>
            <w:tcW w:w="9080" w:type="dxa"/>
            <w:tcBorders>
              <w:top w:val="single" w:color="auto" w:sz="4" w:space="0"/>
              <w:left w:val="single" w:color="000000" w:sz="4" w:space="0"/>
              <w:bottom w:val="single" w:color="000000" w:sz="4" w:space="0"/>
              <w:right w:val="single" w:color="000000" w:sz="4" w:space="0"/>
            </w:tcBorders>
            <w:noWrap w:val="0"/>
            <w:vAlign w:val="center"/>
          </w:tcPr>
          <w:p w14:paraId="113CD350">
            <w:pPr>
              <w:keepNext w:val="0"/>
              <w:keepLines w:val="0"/>
              <w:pageBreakBefore w:val="0"/>
              <w:widowControl/>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《中华人民共和国社会保险法》第八十八条：以欺诈、伪造证明材料或者其他手段骗取社会保险待遇的，由社会保险行政部门责令退回骗取的社会保险金，处骗取金额二倍以上五倍以下的罚款。</w:t>
            </w:r>
          </w:p>
          <w:p w14:paraId="596CCE40">
            <w:pPr>
              <w:keepNext w:val="0"/>
              <w:keepLines w:val="0"/>
              <w:pageBreakBefore w:val="0"/>
              <w:widowControl/>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 xml:space="preserve">《基本医疗卫生与健康促进法》 第一百零四条：违反本法规定，以欺诈、伪造证明材料或者其他手段骗取基本医疗保险待遇，由县级以上人民政府医疗保障主管部门依照有关社会保险的法律、行政法规规定给予行政处罚。 </w:t>
            </w:r>
          </w:p>
          <w:p w14:paraId="6AF4E897">
            <w:pPr>
              <w:keepNext w:val="0"/>
              <w:keepLines w:val="0"/>
              <w:pageBreakBefore w:val="0"/>
              <w:widowControl/>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《医疗保障基金使用监督管理条例》第四十一条 个人有下列情形之一的，由医疗保障行政部门责令改正；造成医疗保障基金损失的，责令退回；属于参保人员的，暂停其医疗费用联网结算3个月至12个月：</w:t>
            </w:r>
          </w:p>
          <w:p w14:paraId="5E06861D">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leftChars="0" w:firstLine="480" w:firstLineChars="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将本人的医疗保障凭证交由他人冒名使用；</w:t>
            </w:r>
          </w:p>
          <w:p w14:paraId="5E2B974D">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leftChars="0" w:firstLine="480" w:firstLineChars="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重复享受医疗保障待遇；</w:t>
            </w:r>
          </w:p>
          <w:p w14:paraId="38781CBE">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leftChars="0" w:firstLine="480" w:firstLineChars="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利用享受医疗保障待遇的机会转卖药品，接受返还现金、实物或者获得其他非法利益。</w:t>
            </w:r>
          </w:p>
          <w:p w14:paraId="0137980F">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leftChars="0" w:firstLine="480" w:firstLineChars="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个人以骗取医疗保障基金为目的，实施了前款规定行为之一，造成医疗保障基金损失的；或者使用他人医疗保障凭证冒名就医、购药的；或者通过伪造、变造、隐匿、涂改、销毁医学文书、医学证明、会计凭证、电子信息等有关资料或者虚构医药服务项目等方式，骗取医疗保障基金支出的，除依照前款规定处理外，还应当由医疗保障行政部门处骗取金额2倍以上5倍以下的罚款。</w:t>
            </w:r>
          </w:p>
        </w:tc>
        <w:tc>
          <w:tcPr>
            <w:tcW w:w="998" w:type="dxa"/>
            <w:tcBorders>
              <w:top w:val="single" w:color="auto" w:sz="4" w:space="0"/>
              <w:left w:val="single" w:color="000000" w:sz="4" w:space="0"/>
              <w:bottom w:val="single" w:color="000000" w:sz="4" w:space="0"/>
              <w:right w:val="single" w:color="000000" w:sz="4" w:space="0"/>
            </w:tcBorders>
            <w:noWrap w:val="0"/>
            <w:vAlign w:val="center"/>
          </w:tcPr>
          <w:p w14:paraId="5468795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auto" w:sz="4" w:space="0"/>
              <w:left w:val="single" w:color="000000" w:sz="4" w:space="0"/>
              <w:bottom w:val="single" w:color="000000" w:sz="4" w:space="0"/>
              <w:right w:val="single" w:color="000000" w:sz="4" w:space="0"/>
            </w:tcBorders>
            <w:noWrap w:val="0"/>
            <w:vAlign w:val="center"/>
          </w:tcPr>
          <w:p w14:paraId="7AC460B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7380D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62"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1D8DE9D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4</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0FEE3C8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对用人单位不办理医疗保险和生育保险登记、未按规定变更登记或注销登记以及伪造、变造登记证明的处罚</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1158BE1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行政处罚</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3957A73B">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社会保险法》第八十四条：用人单位不办理社会保险登记的，由社会保险行政部门责令限期改正；逾期不改正的，对用人单位处应缴社会保险费数额一倍以上三倍以下的罚款，对其直接负责的主管人员和其他直接责任人员处五百元以上三千元以下的罚款。</w:t>
            </w:r>
          </w:p>
          <w:p w14:paraId="279E138B">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社会保险费征缴暂行条例》第二十三条：缴费单位未按照规定办理社会保险登记、变更登记或者注销登记，或者未按照规定申报应缴纳的社会保险费数额的，由劳动保障行政部门责令限期改正；情节严重的，对直接负责的主管人员和其他直接责任人员可以处1000元以上5000元以下的罚款；情节特别严重的，对直接负责的主管人员和其他直接责任人员可以处5000元以上10000元以下的罚款。</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53E6BCF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002F927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0D0C0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0"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1598B77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5</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3A5CAFD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对采取虚报、隐瞒、伪造等手段，骗取医疗救助资金的处罚</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20ECE0F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行政处罚</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532419F8">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社会救助暂行办法》第六十八条：采取虚报、隐瞒、伪造等手段，骗取社会救助资金、物资或者服务的，由有关部门决定停止社会救助，责令退回非法获取的救助资金、物资，可以处非法获取的救助款额或者物资价值1倍以上3倍以下的罚款；构成违反治安管理行为的，依法给予治安管理处罚。</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7D5D68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5CC025E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19186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10"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3A364F3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6</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4405CB9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pacing w:val="-6"/>
                <w:sz w:val="24"/>
                <w:szCs w:val="24"/>
                <w:u w:val="none"/>
              </w:rPr>
            </w:pPr>
            <w:r>
              <w:rPr>
                <w:rFonts w:hint="eastAsia" w:ascii="仿宋_GB2312" w:hAnsi="宋体" w:eastAsia="仿宋_GB2312" w:cs="仿宋_GB2312"/>
                <w:i w:val="0"/>
                <w:color w:val="000000"/>
                <w:spacing w:val="-6"/>
                <w:kern w:val="0"/>
                <w:sz w:val="24"/>
                <w:szCs w:val="24"/>
                <w:u w:val="none"/>
                <w:lang w:val="en-US" w:eastAsia="zh-CN" w:bidi="ar"/>
              </w:rPr>
              <w:t>隐匿、转移、侵占、挪用医疗保障基金或违法进行违规投资运营或其他违法行为的处罚</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218FF77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行政处罚</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727D54C6">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《中华人民共和国社会保险法》第九十一条： 违反本法规定，隐匿、转移、侵占、挪用社会保险基金或者违规投资运营的，由社会保险行政部门、财政部门、审计机关责令追回；有违法所得的，没收违法所得；对直接负责的主管人员和其他直接责任人员依法给予处分。</w:t>
            </w:r>
          </w:p>
          <w:p w14:paraId="5E33CB57">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《实施&lt;中华人民共和国社会保险法&gt;若干规定》第二十六条： 社会保险经办机构、社会保险费征收机构、社会保险基金投资运营机构、开设社会保险基金专户的机构和专户管理银行及其工作人员有下列违法情形的，由社会保险行政部门按照社会保险法第九十一条的规定查处：将应征和已征的社会保险基金，采取隐藏、非法放置等手段，未按规定征缴、入账的；违规将社会保险基金转入社会保险基金专户以外的账户的；侵吞社会保险基金的；将各项社会保险基金互相挤占或者其他社会保障基金挤占社会保险基金的；将社会保险基金用于平衡财政预算，兴建、改建办公场所和支付人员经费、运行费用、管理费用的；违反国家规定的投资运营政策的。</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2396082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0E6A118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791FC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22"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18C42E7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7</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3F6D1EF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pacing w:val="-6"/>
                <w:sz w:val="24"/>
                <w:szCs w:val="24"/>
                <w:u w:val="none"/>
              </w:rPr>
            </w:pPr>
            <w:r>
              <w:rPr>
                <w:rFonts w:hint="eastAsia" w:ascii="仿宋_GB2312" w:hAnsi="宋体" w:eastAsia="仿宋_GB2312" w:cs="仿宋_GB2312"/>
                <w:i w:val="0"/>
                <w:color w:val="000000"/>
                <w:spacing w:val="-6"/>
                <w:kern w:val="0"/>
                <w:sz w:val="24"/>
                <w:szCs w:val="24"/>
                <w:u w:val="none"/>
                <w:lang w:val="en-US" w:eastAsia="zh-CN" w:bidi="ar"/>
              </w:rPr>
              <w:t>对参加药品采购的投标人违法行为进行监督管理</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2B89551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行政处罚</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0DC562D0">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基本医疗卫生与健康促进法》第一百零三条：违反本法规定，参加药品采购投标的投标人以低于成本的报价竞标，或者以欺诈、串通投标、滥用市场支配地位等方式竞标的，由县级以上人民政府医疗保障主管部门责令改正，没收违法所得；中标的，中标无效，处中标项目金额千分之五以上千分之十以下的罚款，对法定代表人、主要负责人、直接负责的主管人员和其他责任人员处对单位罚款数额百分之五以上百分之十 以下的罚款；情节严重的，取消其二年至五年内参加药品采购投标的资格并予以公告。</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3804C1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325A760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6C98E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79"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6351EE6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8</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70171F7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对可能被转移、隐匿或者灭失的医疗保险基金相关资料进行封存</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286546A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行政强制</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617DF7E5">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《中华人民共和国社会保险法》第七十九条 ……社会保险行政部门对社会保险基金实施监督检查，有权采取下列措施：</w:t>
            </w:r>
          </w:p>
          <w:p w14:paraId="15568CEC">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查阅、记录、复制与社会保险基金收支、管理和投资运营相关的资料，对可能被转移、隐匿或者灭失的资料予以封存；</w:t>
            </w:r>
          </w:p>
          <w:p w14:paraId="0DE96907">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询问与调查事项有关的单位和个人，要求其对与调查事项有关的问题作出说明、提供有关证明材料；</w:t>
            </w:r>
          </w:p>
          <w:p w14:paraId="584EF837">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对隐匿、转移、侵占、挪用社会保险基金的行为予以制止并责令改正。</w:t>
            </w:r>
          </w:p>
          <w:p w14:paraId="0384C0A7">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《中华人民共和国价格法》第三十四条……（四）在证据可能灭失或者以后难以取得的情况下，可以依法先行登记保存，当事人或者有关人员不得转移、隐匿或者销毁。</w:t>
            </w:r>
          </w:p>
          <w:p w14:paraId="4F1859C3">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医疗保障行政处罚程序暂行规定》第二十九条：医疗保障行政部门对可能被转移、隐匿或者灭失的资料，无法以先行登记保存措施加以证据保全，采取封存措施；采取或者解除封存措施的，应当经医疗保障行政部门负责人批准。情况紧急，需要当场采取封存等行政强制措施的，执法人员应当在二十四小时内向医疗保障行政部门负责人报告，并补办批准手续。医疗保障行政部门负责人认为不应当采取行政强制措施的，应当立即解除。</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303310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50165D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34C36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5"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73CC5BE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9</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2162F96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对医疗救助的监督检查</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8FA5ED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行政检查</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02E308BE">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《社会救助暂行办法》第五十七条：县级以上人民政府及其社会救助管理部门应当加强对社会救助工作的监督检查，完善相关监督管理制度。</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5CD224A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36A521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68247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42"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7014BCD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10</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5B2B9F6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对用人单位和个人遵守社会保险法律、法规情况的监督检查</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2FECCB3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行政检查</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6685BD99">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《中华人民共和国社会保险法》第七十七条 ：县级以上人民政府社会保险行政部门应当加强对用人单位和个人遵守社会保险法律、法规情况的监督检查。社会保险行政部门实施监督检查时，被检查的用人单位和个人应当如实提供与社会保险有关的资料，不得拒绝检查或者谎报、瞒报。</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1AA78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9FC52D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4AD28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0"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0D9E5DC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11</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76F77098">
            <w:pPr>
              <w:keepNext w:val="0"/>
              <w:keepLines w:val="0"/>
              <w:pageBreakBefore w:val="0"/>
              <w:widowControl/>
              <w:suppressLineNumbers w:val="0"/>
              <w:kinsoku/>
              <w:wordWrap/>
              <w:overflowPunct/>
              <w:topLinePunct w:val="0"/>
              <w:autoSpaceDE/>
              <w:autoSpaceDN/>
              <w:bidi w:val="0"/>
              <w:adjustRightInd/>
              <w:snapToGrid/>
              <w:spacing w:line="2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对纳入医疗保障基金支付范围的医疗服务行为和医疗费用的监督，规范医疗保障经办业务，依法查处违法使用医疗保障基金的行为</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57D95828">
            <w:pPr>
              <w:keepNext w:val="0"/>
              <w:keepLines w:val="0"/>
              <w:pageBreakBefore w:val="0"/>
              <w:widowControl/>
              <w:suppressLineNumbers w:val="0"/>
              <w:kinsoku/>
              <w:wordWrap/>
              <w:overflowPunct/>
              <w:topLinePunct w:val="0"/>
              <w:autoSpaceDE/>
              <w:autoSpaceDN/>
              <w:bidi w:val="0"/>
              <w:adjustRightInd/>
              <w:snapToGrid/>
              <w:spacing w:line="2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行政检查</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31692FFF">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基本医疗卫生与健康促进法》第八十七条：县级以上人民政府医疗保障主管部门应当提高医疗保障监管能力和水平，对纳入基本医疗保险基金支付范围的医疗服务行为和医疗费用加强监督管理，确保基本医疗保险基金合理使用、安全可控。</w:t>
            </w:r>
          </w:p>
          <w:p w14:paraId="376179A0">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 xml:space="preserve">《医疗保障基金使用监督管理条例》第二十二条：医疗保障行政部门应当加强对纳入医疗保障基金的医疗服务行为和医疗费用的监督，规范医疗保障经办业务，依法查处违法使用医疗保障基金的行为。                       </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11C7FD5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4AB988D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4C6E5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90"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7DF6421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12</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0A96ED2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医疗保险稽核</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3CEE965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行政检查</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771F4ED2">
            <w:pPr>
              <w:keepNext w:val="0"/>
              <w:keepLines w:val="0"/>
              <w:pageBreakBefore w:val="0"/>
              <w:widowControl/>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《中华人民共和国社会保险法》第三十一条：社会保险经办机构根据管理服务的需要，可以与医疗机构、药品经营单位签订服务协议，规范医疗服务行为。 医疗机构应当为参保人员提供合理、必要的医疗服务。《社会保险稽核办法》（劳动和社会保障部令第16号）第二条：本办法所称稽核是指社会保险经办机构依法对社会保险费缴纳情况和社会保险待遇领取情况进行的核查。</w:t>
            </w:r>
          </w:p>
          <w:p w14:paraId="2A837FF2">
            <w:pPr>
              <w:keepNext w:val="0"/>
              <w:keepLines w:val="0"/>
              <w:pageBreakBefore w:val="0"/>
              <w:widowControl/>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第三条：县级以上社会保险经办机构负责社会保险稽核工作。</w:t>
            </w:r>
          </w:p>
          <w:p w14:paraId="37BF5282">
            <w:pPr>
              <w:keepNext w:val="0"/>
              <w:keepLines w:val="0"/>
              <w:pageBreakBefore w:val="0"/>
              <w:widowControl/>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第五条：社会保险经办机构及社会保险稽核人员开展稽核工作，行使下列职权：</w:t>
            </w:r>
          </w:p>
          <w:p w14:paraId="755A92CB">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要求被稽核单位提供用人情况、工资收入情况、财务报表、统计报表、缴费数据和相关帐册、会计凭证等与缴纳社会保险费有关的情况和资料；</w:t>
            </w:r>
          </w:p>
          <w:p w14:paraId="4007CC33">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可以记录、录音、录像、照相和复制与缴纳社会保险费有关的资料，对被稽核对象的参保情况和缴纳社会保险费等方面的情况进行调查、询问；</w:t>
            </w:r>
          </w:p>
          <w:p w14:paraId="58D6CD01">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要求被稽核对象提供与稽核事项有关的资料。</w:t>
            </w:r>
          </w:p>
          <w:p w14:paraId="49EDEB97">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第十二条：社会保险经办机构应当对参保个人领取社会保险待遇情况进行核查，发现社会保险待遇领取人丧失待遇领取资格后本人或他人继续领取待遇或以其他形式骗取社会保险待遇的，社会保险经办机构应当立即停止待遇的支付并责令退还。</w:t>
            </w:r>
          </w:p>
          <w:p w14:paraId="3AE739C5">
            <w:pPr>
              <w:keepNext w:val="0"/>
              <w:keepLines w:val="0"/>
              <w:pageBreakBefore w:val="0"/>
              <w:widowControl/>
              <w:numPr>
                <w:ilvl w:val="0"/>
                <w:numId w:val="0"/>
              </w:numPr>
              <w:suppressLineNumbers w:val="0"/>
              <w:kinsoku/>
              <w:wordWrap/>
              <w:overflowPunct/>
              <w:topLinePunct w:val="0"/>
              <w:autoSpaceDE/>
              <w:autoSpaceDN/>
              <w:bidi w:val="0"/>
              <w:adjustRightInd/>
              <w:snapToGrid/>
              <w:spacing w:line="30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社会保险稽核办法》第十二条：社会保险经办机构应当对参保个人领取社会保险待遇情况进行核查，发现社会保险待遇领取人丧失待遇领取资格后本人或他人继续领取待遇或以其他形式骗取社会保险待遇的，社会保险经办机构应当立即停止待遇的支付并责令退还。</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1489D91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28E3465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大同市医疗保险服务中心</w:t>
            </w:r>
          </w:p>
        </w:tc>
      </w:tr>
      <w:tr w14:paraId="2A176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0"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1760D92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13</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3497360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对药品价格进行监测和成本调查</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1E2B996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行政检查</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4DF06E98">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基本医疗卫生与健康促进法》第一百零三条：违反本法规定，参加药品采购投标的投标人以低于成本的报价竞标，或者以欺诈、串通投标、滥用市场支配地位等方式竞标的，由县级以上人民政府医疗保障主管部门责令改正，没收违法所得；中标的，中标无效，处中标项目金额千分之五以上千分之十以下的罚款，对法定代表人、主要负责人、直接负责的主管人员和其他责任人员处对单位罚款数额百分之五以上百分之十以下的罚款；情节严重的，取消其二年至五年内参加药品采购投标的资格并予以公告。</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DA05BC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580D0483">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6B679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11"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3095586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14</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261119A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对定点零售药店的医保协议履行情况、医疗保障基金使用情况、药品服务等进行监督监察</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04AC818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行政检查</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5D5CC5F2">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零售药店医疗保障定点管理暂行办法》第四十三条:医疗保障行政部门对定点申请、申请受理、专业评估、协议订立、协议履行和解除等进行监督，对经办机构的内部控制制度建设、医保费用的审核和拨付等进行指导和监督。医疗保障行政部门依法依规通过实地检查、抽查、智能监控、大数据分析等方式对定点零售药店的医保协议履行情况、医疗保障基金使用情况、药品服务等进行监督。</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109A5CF7">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5165F65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00BFF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24"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3E219B8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15</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14B17A0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对定点医疗机构的医保协议履行情况、医疗保障基金使用情况、药品服务等进行监督监察</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0CD9155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行政检查</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08F6C262">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医疗机构医疗保障定点管理暂行办法》第四十七条:医疗保障行政部门对定点申请、申请受理、专业评估、协议订立、协议履行和解除等进行监督，对经办机构的内部控制制度建设、医保费用的审核和拨付等进行指导和监督。医疗保障行政部门依法依规通过实地检查、抽查、智能监控、大数据分析等方式对定点医疗机构的医保协议履行情况、医疗保障基金使用情况、医疗服务行为、购买涉及医疗保险基金使用的第三方服务等进行监督。</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410D2F0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2C026A8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540189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33"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4D1553F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16</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79984501">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对违法违规使用医疗保障基金举报行为的奖励</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7D6BAA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行政奖励</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18B21A5A">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ind w:left="0" w:leftChars="0" w:firstLine="480" w:firstLineChars="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《违法违规使用医疗保障基金举报奖励办法》第二条：自然人(以下称举报人)向医疗保障行政部门反映 涉嫌违法违规使用基本医疗保险(含生育保险)基金、医疗救助基金等医疗保障基金行为并提供相关线索,经查证属实应予奖励的,适用本办法。 医疗保障行政部门委托医疗保障经办机构等组织开展举报处理工作的,参照本办法执行。 违法违规使用居民大病保险、职工大额医疗费用补助、公务员医疗补助等医疗保障资金的举报奖励,参照本办法执行。</w:t>
            </w:r>
          </w:p>
          <w:p w14:paraId="319B82B7">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《违法违规使用医疗保障基金举报奖励实施细则》第二条：自然人 (以下称举报人)向医疗保障行政部门反映山西省行政区域内定点医药机构、经办机构、参保人、其他组织或个人等涉嫌违法违规使用基本医疗保险 (含生育保险)基金、医疗救助基金等医疗保障基金行为并提供相关线索,经查证属实应予奖励的，适用本细则。违法违规使用居民大病保险、职工大额医疗费用补助、公务员医疗补助等医疗保障资金的举报奖励,参照本细则执行。</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02E4DD5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3D74BFF5">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5A690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6"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2F1FE60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17</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7399B04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对最低生活保障家庭成员和特困供养人员的医疗救助</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7593207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行政给付</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14DDC4FF">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社会救助暂行办法（2019修订）》第三十条：申请医疗救助的，应当向乡镇人民政府、街道办事处提出，经审核、公示后，由县级人民政府医疗保障部门审批。最低生活保障家庭成员和特困供养人员的医疗救助，由县级人民政府医疗保障部门直接办理。</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5A84754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7242395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r>
      <w:tr w14:paraId="495CC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73"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6574E83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18</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56D8905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基本医疗保险待遇的支付</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E807CB2">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行政给付</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25489B86">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《中华人民共和国社会保险法》第八条  社会保险经办机构提供社会保险服务，负责社会保险登记、个人权益记录、社会保险待遇支付等工作。  第二十六条  职工基本医疗保险、新型农村合作医疗和城镇居民基本医疗保险的待遇标准按照国家规定执行。 第二十九条  参保人员医疗费用中应当由基本医疗保险基金支付的部分，由社会保险经办机构与医疗机构、药品经营单位直接结算。社会保险行政部门和卫生行政部门应当建立异地就医医疗费用结算制度。方便参保人员享受基本医疗保险待遇。</w:t>
            </w:r>
          </w:p>
          <w:p w14:paraId="54F8FB02">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kern w:val="0"/>
                <w:sz w:val="24"/>
                <w:szCs w:val="24"/>
                <w:u w:val="none"/>
                <w:lang w:val="en-US" w:eastAsia="zh-CN" w:bidi="ar"/>
              </w:rPr>
            </w:pPr>
            <w:r>
              <w:rPr>
                <w:rFonts w:hint="eastAsia" w:ascii="仿宋_GB2312" w:hAnsi="宋体" w:eastAsia="仿宋_GB2312" w:cs="仿宋_GB2312"/>
                <w:i w:val="0"/>
                <w:color w:val="000000"/>
                <w:kern w:val="0"/>
                <w:sz w:val="24"/>
                <w:szCs w:val="24"/>
                <w:u w:val="none"/>
                <w:lang w:val="en-US" w:eastAsia="zh-CN" w:bidi="ar"/>
              </w:rPr>
              <w:t>《医疗机构医疗保障定点管理暂行办法》（国家医疗保障局令第2号）第三十条  经办机构应当加强医疗保障基金支出管理，通过智能审核、实时监控、现场检查等方式及时审核医疗费用。对定点医疗机构进行定期和不定期稽查审核。按协议约定及时足额向定点医疗机构拨付医保费用，原则上应当在定点医疗机构申报后30个工作日内拨付符合规定的医保费用。</w:t>
            </w:r>
          </w:p>
          <w:p w14:paraId="05C7C4CB">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《零售药店医疗保障定点管理暂行办法》（国家医疗保障局令第3号）第二十九条 经办机构应当加强医疗保障基金支出管理，通过智能审核、实时监控、现场检查等方式及时审核医保药品费用。对定点零售药店进行定期和不定期稽查审核，按医保协议约定及时足额向定点零售药店拨付医保费用。原则上，应当在定点零售药店申报后30个工作日内拨付符合规定的医保费用。</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4312A52F">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7CCF94B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大同市医疗保险服务中心</w:t>
            </w:r>
          </w:p>
        </w:tc>
      </w:tr>
      <w:tr w14:paraId="201F3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6"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504E00A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19</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789A79DD">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个人生育保险津贴和医疗待遇支付</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9BE370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行政给付</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2D0804C0">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left"/>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《中华人民共和国社会保险法》第八条  社会保险经办机构提供社会保险服务，负责社会保险登记、个人权益记录、社会保险待遇支付等工作。第五十四条 用人单位已经缴纳生育保险费用的，其职工享受生育保险待遇；职工未就业配偶按照国家规定享受生育医疗费用待遇。所需资金从生育保险基金中支付。</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4D78258A">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D7320A9">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大同市医疗保险服务中心</w:t>
            </w:r>
          </w:p>
        </w:tc>
      </w:tr>
      <w:tr w14:paraId="56180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30" w:hRule="atLeast"/>
          <w:jc w:val="center"/>
        </w:trPr>
        <w:tc>
          <w:tcPr>
            <w:tcW w:w="432" w:type="dxa"/>
            <w:tcBorders>
              <w:top w:val="single" w:color="000000" w:sz="4" w:space="0"/>
              <w:left w:val="single" w:color="000000" w:sz="4" w:space="0"/>
              <w:bottom w:val="single" w:color="000000" w:sz="4" w:space="0"/>
              <w:right w:val="single" w:color="000000" w:sz="4" w:space="0"/>
            </w:tcBorders>
            <w:noWrap w:val="0"/>
            <w:vAlign w:val="center"/>
          </w:tcPr>
          <w:p w14:paraId="2EA12150">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20</w:t>
            </w:r>
          </w:p>
        </w:tc>
        <w:tc>
          <w:tcPr>
            <w:tcW w:w="1432" w:type="dxa"/>
            <w:tcBorders>
              <w:top w:val="single" w:color="000000" w:sz="4" w:space="0"/>
              <w:left w:val="single" w:color="000000" w:sz="4" w:space="0"/>
              <w:bottom w:val="single" w:color="000000" w:sz="4" w:space="0"/>
              <w:right w:val="single" w:color="000000" w:sz="4" w:space="0"/>
            </w:tcBorders>
            <w:noWrap w:val="0"/>
            <w:vAlign w:val="center"/>
          </w:tcPr>
          <w:p w14:paraId="1AA3424E">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用人单位参加医疗（生育）保险登记</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02F34C6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行政确认</w:t>
            </w:r>
          </w:p>
        </w:tc>
        <w:tc>
          <w:tcPr>
            <w:tcW w:w="9080" w:type="dxa"/>
            <w:tcBorders>
              <w:top w:val="single" w:color="000000" w:sz="4" w:space="0"/>
              <w:left w:val="single" w:color="000000" w:sz="4" w:space="0"/>
              <w:bottom w:val="single" w:color="000000" w:sz="4" w:space="0"/>
              <w:right w:val="single" w:color="000000" w:sz="4" w:space="0"/>
            </w:tcBorders>
            <w:noWrap w:val="0"/>
            <w:vAlign w:val="center"/>
          </w:tcPr>
          <w:p w14:paraId="26642481">
            <w:pPr>
              <w:keepNext w:val="0"/>
              <w:keepLines w:val="0"/>
              <w:pageBreakBefore w:val="0"/>
              <w:widowControl/>
              <w:suppressLineNumbers w:val="0"/>
              <w:kinsoku/>
              <w:wordWrap/>
              <w:overflowPunct/>
              <w:topLinePunct w:val="0"/>
              <w:autoSpaceDE/>
              <w:autoSpaceDN/>
              <w:bidi w:val="0"/>
              <w:adjustRightInd/>
              <w:snapToGrid/>
              <w:spacing w:line="360" w:lineRule="exact"/>
              <w:ind w:left="0" w:firstLine="480" w:firstLineChars="200"/>
              <w:jc w:val="both"/>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《社会保险法》第八条  社会保险经办机构提供社会保险服务，负责社会保险登记、个人权益记录、社会保险待遇支付等工作。第五十七条 用人单位应当自成立之日起三十日内凭营业执照、登记证书或者单位印章，向当地社会保险经办机构申请办理社会保险登记。社会保险经办机构应当自收到申请之日起十五日内予以审核，发给社会保险登记证件。用人单位的社会保险登记事项发生变更或者用人单位依法终止的，应当自变更或者终止之日起三十日内，到社会保险经办机构办理变更或者注销社会保险登记。第五十八条  用人单位应当自用工之日起三十日内为其职工向社会保险经办机构申请办理社会保险登记。</w:t>
            </w:r>
          </w:p>
        </w:tc>
        <w:tc>
          <w:tcPr>
            <w:tcW w:w="998" w:type="dxa"/>
            <w:tcBorders>
              <w:top w:val="single" w:color="000000" w:sz="4" w:space="0"/>
              <w:left w:val="single" w:color="000000" w:sz="4" w:space="0"/>
              <w:bottom w:val="single" w:color="000000" w:sz="4" w:space="0"/>
              <w:right w:val="single" w:color="000000" w:sz="4" w:space="0"/>
            </w:tcBorders>
            <w:noWrap w:val="0"/>
            <w:vAlign w:val="center"/>
          </w:tcPr>
          <w:p w14:paraId="66D05F66">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大同市医疗保障局</w:t>
            </w:r>
          </w:p>
        </w:tc>
        <w:tc>
          <w:tcPr>
            <w:tcW w:w="999" w:type="dxa"/>
            <w:tcBorders>
              <w:top w:val="single" w:color="000000" w:sz="4" w:space="0"/>
              <w:left w:val="single" w:color="000000" w:sz="4" w:space="0"/>
              <w:bottom w:val="single" w:color="000000" w:sz="4" w:space="0"/>
              <w:right w:val="single" w:color="000000" w:sz="4" w:space="0"/>
            </w:tcBorders>
            <w:noWrap w:val="0"/>
            <w:vAlign w:val="center"/>
          </w:tcPr>
          <w:p w14:paraId="66B1F634">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firstLineChars="0"/>
              <w:jc w:val="center"/>
              <w:textAlignment w:val="center"/>
              <w:rPr>
                <w:rFonts w:hint="eastAsia"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大同市医疗保险服务中心</w:t>
            </w:r>
          </w:p>
        </w:tc>
      </w:tr>
    </w:tbl>
    <w:p w14:paraId="07327F9A"/>
    <w:sectPr>
      <w:pgSz w:w="16838" w:h="11906" w:orient="landscape"/>
      <w:pgMar w:top="1417" w:right="2098" w:bottom="1417" w:left="1928" w:header="851" w:footer="992" w:gutter="0"/>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标宋简体">
    <w:altName w:val="微软雅黑"/>
    <w:panose1 w:val="03000509000000000000"/>
    <w:charset w:val="86"/>
    <w:family w:val="auto"/>
    <w:pitch w:val="default"/>
    <w:sig w:usb0="00000000" w:usb1="0000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hyphenationZone w:val="360"/>
  <w:drawingGridVerticalSpacing w:val="156"/>
  <w:displayHorizontalDrawingGridEvery w:val="1"/>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7BEF5BBB"/>
    <w:rsid w:val="04242E5C"/>
    <w:rsid w:val="7BEF5BBB"/>
    <w:rsid w:val="7FEFD3E4"/>
    <w:rsid w:val="D165BB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Style w:val="3"/>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spacing w:line="240" w:lineRule="auto"/>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8071</Words>
  <Characters>8102</Characters>
  <Lines>0</Lines>
  <Paragraphs>0</Paragraphs>
  <TotalTime>0</TotalTime>
  <ScaleCrop>false</ScaleCrop>
  <LinksUpToDate>false</LinksUpToDate>
  <CharactersWithSpaces>8162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2024-08-20T16:29:00Z</dcterms:created>
  <dc:creator>dt</dc:creator>
  <cp:lastModifiedBy>幺儿</cp:lastModifiedBy>
  <dcterms:modified xsi:type="dcterms:W3CDTF">2024-09-20T07:55:49Z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DE644530717D46049D80DFFCF1ADE6BA_13</vt:lpwstr>
  </property>
</Properties>
</file>